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EE" w:rsidRDefault="00F630EE" w:rsidP="00F630EE">
      <w:pPr>
        <w:pStyle w:val="Default"/>
      </w:pPr>
    </w:p>
    <w:p w:rsidR="00F630EE" w:rsidRPr="00F630EE" w:rsidRDefault="00F630EE" w:rsidP="00F630EE">
      <w:pPr>
        <w:pStyle w:val="Default"/>
        <w:rPr>
          <w:rFonts w:ascii="Calibri" w:hAnsi="Calibri" w:cs="Calibri"/>
          <w:sz w:val="52"/>
          <w:szCs w:val="52"/>
        </w:rPr>
      </w:pPr>
      <w:r>
        <w:rPr>
          <w:sz w:val="22"/>
          <w:szCs w:val="22"/>
        </w:rPr>
        <w:t xml:space="preserve">         </w:t>
      </w:r>
      <w:r w:rsidRPr="00F630EE">
        <w:rPr>
          <w:rFonts w:ascii="Calibri" w:hAnsi="Calibri" w:cs="Calibri"/>
          <w:b/>
          <w:bCs/>
          <w:sz w:val="52"/>
          <w:szCs w:val="52"/>
        </w:rPr>
        <w:t xml:space="preserve">BLOOD TRANSFUSION IN OBSTETRICS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Background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Obstetric haemorrhage remains a major cause of maternal mortality in the UK, with substandard management identified in 80% of the cases with blood transfusion either „too little, or late‟.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The major risk of blood transfusion, is receiving an „incorrect blood component‟.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How can the chance of transfusion be reduced?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1-Optimisation of haemoglobin in the antenatal period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Diagnosis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Anaemia in pregnancy is defined as first trimester haemoglobin (Hb) less than 110 g/l, second/third trimester Hb less than 105 g/l, and postpartum Hb less than 100 g/l,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Pregnant women should be offered screening for anaemia at booking and at 28 weeks.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Women with multiple pregnancies should have an additional full blood count done at 20–24 weeks.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2-Treatment and management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for normocytic or microcytic anaemia, a trial of oral iron should be considered as the first step and further tests should be undertaken if there is no demonstrable rise in Hb at 2 weeks and compliance has been checked.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Supplement Oral iron as first-line treatment for iron deficiency.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Parenteral iron if oral iron is not tolerated, absorbed or patient compliance is in doubt.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Parenteral therapy offers a shorter duration and a quicker response than oral therapy.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Iron sucrose is given in multiple doses whereas iron dextran as a single total-dose infusion.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Recombinant human erythropoietin is used in anaemia of end-stage renal disease without any adverse maternal, or fetal effects.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Women should receive information on improvement of dietary iron intake and factors affecting absorption of dietary iron.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Anaemia not due to haematinic deficiency (haemoglobinopathies and bone marrow failure syndromes)should be managed by blood transfusion in close conjunction with a haematologist.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Blood loss at delivery should be minimized by: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  <w:sz w:val="16"/>
          <w:szCs w:val="16"/>
        </w:rPr>
        <w:t xml:space="preserve">1. </w:t>
      </w:r>
      <w:r w:rsidRPr="00F630EE">
        <w:rPr>
          <w:rFonts w:ascii="Arial" w:hAnsi="Arial" w:cs="Arial"/>
          <w:color w:val="000000"/>
        </w:rPr>
        <w:t xml:space="preserve">Active management of the third stage of labour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  <w:sz w:val="16"/>
          <w:szCs w:val="16"/>
        </w:rPr>
        <w:t xml:space="preserve">2. </w:t>
      </w:r>
      <w:r w:rsidRPr="00F630EE">
        <w:rPr>
          <w:rFonts w:ascii="Arial" w:hAnsi="Arial" w:cs="Arial"/>
          <w:color w:val="000000"/>
        </w:rPr>
        <w:t xml:space="preserve">Women at high risk of haemorrhage should deliver in hospital.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  <w:sz w:val="16"/>
          <w:szCs w:val="16"/>
        </w:rPr>
        <w:t xml:space="preserve">3. </w:t>
      </w:r>
      <w:r w:rsidRPr="00F630EE">
        <w:rPr>
          <w:rFonts w:ascii="Arial" w:hAnsi="Arial" w:cs="Arial"/>
          <w:color w:val="000000"/>
        </w:rPr>
        <w:t xml:space="preserve">Optimal management of women on anticoagulants.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General principles of blood transfusion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I-Consent for blood transfusion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Valid consent should be obtained where possible prior to administering a blood transfusion.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In an emergency, where it is not feasible to get consent, information on blood transfusion should be provided retrospectively.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The reason for transfusion and a note of the consent discussion should be documented in the patient‟s case notes.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II-Requirements for group and screen samples and cross-matching: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All women should have blood group and antibodies status at booking and at 28 weeks.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Women should have a group-and-save or crossmatch sample depending on the diagnosis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294 </w:t>
      </w:r>
    </w:p>
    <w:p w:rsidR="00F630EE" w:rsidRPr="00F630EE" w:rsidRDefault="00F630EE" w:rsidP="00F630EE">
      <w:pPr>
        <w:pageBreakBefore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Group and screen samples used for provision of blood in pregnancy should be less than 3 days old.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In a woman at high risk of emergency transfusion, e.g. placenta praevia, and with no clinically significant alloantibodies, group and screen samples should be sent once a week to exclude or identify any new antibody formation and to keep blood available if necessary. Close liaison with the hospital transfusion laboratory is essential.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For women with placenta praevia, make 2 units of crossmatched red cells in the issue fridge. These units should be replaced every week by newly crossmatched units.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Women should have a group and screen sample taken in line with clear locally agreed protocols for provision of blood.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NICE suggested that neither a group-and-save nor crossmatch sample should be taken from healthy women with an uncomplicated history who are due to have a caesarean section.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III-Blood product specification in pregnancy and the puerperium: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ABO-, rhesus D- (RhD-) and K- (Kell-) compatible red cell units should be transfused. If clinically significant red cell antibodies are present, then blood negative for the relevant antigen should be cross-matched before transfusion; close liaison with the transfusion laboratory is essential to avoid delay in transfusion in life-threatening haemorrhage.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Cytomegalovirus- (CMV-) seronegative red cell and platelet components should be provided for elective transfusions during pregnancy.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What are the strategies to minimise the use of banked blood?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1. In pregnancy, autologous blood transfusion is not recommended.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There is concerns about placental insufficiency,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whether the woman will make up her Hb before delivery.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whether the collected units will be sufficient in the event of major haemorrhage.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This procedure does not prevent the major risk of blood transfusion „incorrect blood component transfused‟, or the risk of bacterial contamination.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2. Cell salvage is recommended for patients where the anticipated blood loss is great enough to induce anaemia or expected to exceed 20% of estimated blood volume.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</w:rPr>
        <w:t></w:t>
      </w:r>
      <w:r w:rsidRPr="00F630EE">
        <w:rPr>
          <w:rFonts w:ascii="Wingdings" w:hAnsi="Wingdings" w:cs="Wingdings"/>
          <w:color w:val="000000"/>
        </w:rPr>
        <w:t></w:t>
      </w:r>
      <w:r w:rsidRPr="00F630EE">
        <w:rPr>
          <w:rFonts w:ascii="Arial" w:hAnsi="Arial" w:cs="Arial"/>
          <w:color w:val="000000"/>
        </w:rPr>
        <w:t xml:space="preserve">Consent should be obtained for IOCS where possible and its use in obstetric patients should be subject to audit and monitoring.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</w:rPr>
        <w:t></w:t>
      </w:r>
      <w:r w:rsidRPr="00F630EE">
        <w:rPr>
          <w:rFonts w:ascii="Wingdings" w:hAnsi="Wingdings" w:cs="Wingdings"/>
          <w:color w:val="000000"/>
        </w:rPr>
        <w:t></w:t>
      </w:r>
      <w:r w:rsidRPr="00F630EE">
        <w:rPr>
          <w:rFonts w:ascii="Arial" w:hAnsi="Arial" w:cs="Arial"/>
          <w:color w:val="000000"/>
        </w:rPr>
        <w:t xml:space="preserve">Cell salvage should only be performed by multidisciplinary teams who develop regular experience of IOCS (intraoperative cell salvage (IOCS).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</w:rPr>
        <w:t></w:t>
      </w:r>
      <w:r w:rsidRPr="00F630EE">
        <w:rPr>
          <w:rFonts w:ascii="Wingdings" w:hAnsi="Wingdings" w:cs="Wingdings"/>
          <w:color w:val="000000"/>
        </w:rPr>
        <w:t></w:t>
      </w:r>
      <w:r w:rsidRPr="00F630EE">
        <w:rPr>
          <w:rFonts w:ascii="Arial" w:hAnsi="Arial" w:cs="Arial"/>
          <w:color w:val="000000"/>
        </w:rPr>
        <w:t xml:space="preserve">Where IOCS is used during caesarean section in RhD-negative, previously nonsensitised women and where cord blood group is confirmed as RhD positive (or unknown), a minimum dose of 1500 iu anti-D immunoglobulin should be administered following the reinfusion of salvaged red cells.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12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A maternal blood sample should be taken for estimation of fetomaternal haemorrhage 30–40 minutes after reinfusion in case more anti-D is indicated.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IOCS has a role in the management of patients who refuse allogenic blood transfusions.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0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How can major haemorrhage be managed?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Times New Roman" w:hAnsi="Times New Roman" w:cs="Times New Roman"/>
          <w:color w:val="000000"/>
        </w:rPr>
        <w:t xml:space="preserve"> </w:t>
      </w:r>
      <w:r w:rsidRPr="00F630EE">
        <w:rPr>
          <w:rFonts w:ascii="Arial" w:hAnsi="Arial" w:cs="Arial"/>
          <w:color w:val="000000"/>
        </w:rPr>
        <w:t xml:space="preserve">There should be a clear local protocol with early involvement of multydisciplinary a broach (a consultant obstetrician, anaesthetist and haematologist and the blood bank).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Arial" w:hAnsi="Arial" w:cs="Arial"/>
          <w:color w:val="000000"/>
        </w:rPr>
        <w:t xml:space="preserve"> The protocol should be updated annually and practised in „skills drills‟ to inform and train relevant personnel.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Massive blood loss may be defined as: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loss of 1 blood volume within a 24-hour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50% blood volume loss within 3 hours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F630EE">
        <w:rPr>
          <w:rFonts w:ascii="Courier New" w:hAnsi="Courier New" w:cs="Courier New"/>
          <w:color w:val="000000"/>
          <w:sz w:val="16"/>
          <w:szCs w:val="16"/>
        </w:rPr>
        <w:t xml:space="preserve">o </w:t>
      </w:r>
      <w:r w:rsidRPr="00F630EE">
        <w:rPr>
          <w:rFonts w:ascii="Arial" w:hAnsi="Arial" w:cs="Arial"/>
          <w:color w:val="000000"/>
        </w:rPr>
        <w:t xml:space="preserve">a rate of loss of 150 ml/minute. </w:t>
      </w:r>
    </w:p>
    <w:p w:rsidR="00F630EE" w:rsidRPr="00F630EE" w:rsidRDefault="00F630EE" w:rsidP="00F630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0EE">
        <w:rPr>
          <w:rFonts w:ascii="Wingdings" w:hAnsi="Wingdings" w:cs="Wingdings"/>
          <w:color w:val="000000"/>
          <w:sz w:val="21"/>
          <w:szCs w:val="21"/>
        </w:rPr>
        <w:t></w:t>
      </w:r>
      <w:r w:rsidRPr="00F630EE">
        <w:rPr>
          <w:rFonts w:ascii="Wingdings" w:hAnsi="Wingdings" w:cs="Wingdings"/>
          <w:color w:val="000000"/>
          <w:sz w:val="21"/>
          <w:szCs w:val="21"/>
        </w:rPr>
        <w:t></w:t>
      </w:r>
      <w:r w:rsidRPr="00F630EE">
        <w:rPr>
          <w:rFonts w:ascii="Arial" w:hAnsi="Arial" w:cs="Arial"/>
          <w:color w:val="000000"/>
        </w:rPr>
        <w:t xml:space="preserve">Normal blood volume in the adult is taken as approximately 7% of ideal body weight </w:t>
      </w:r>
    </w:p>
    <w:p w:rsidR="00F630EE" w:rsidRDefault="00F630EE" w:rsidP="00F630EE">
      <w:pPr>
        <w:pStyle w:val="Default"/>
        <w:spacing w:after="1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50% blood volume loss within 3 hours </w:t>
      </w:r>
    </w:p>
    <w:p w:rsidR="00F630EE" w:rsidRDefault="00F630EE" w:rsidP="00F630EE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16"/>
          <w:szCs w:val="16"/>
        </w:rPr>
        <w:t xml:space="preserve">o </w:t>
      </w:r>
      <w:r>
        <w:rPr>
          <w:sz w:val="22"/>
          <w:szCs w:val="22"/>
        </w:rPr>
        <w:t xml:space="preserve">a rate of loss of 150 ml/minute.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2"/>
          <w:szCs w:val="22"/>
        </w:rPr>
        <w:t xml:space="preserve">Normal blood volume in the adult is taken as approximately 7% of ideal body weight </w:t>
      </w:r>
    </w:p>
    <w:p w:rsidR="00F630EE" w:rsidRDefault="00F630EE" w:rsidP="00F630EE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lastRenderedPageBreak/>
        <w:t xml:space="preserve">295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What blood components can be used for obstetric haemorrhage? </w:t>
      </w:r>
    </w:p>
    <w:p w:rsidR="00F630EE" w:rsidRDefault="00F630EE" w:rsidP="00F630E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Red cells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There are no firm criteria for initiating red cell transfusion. The decision to provide blood transfusion should be made on clinical and haematological grounds.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if no history of irregular antibodies during screening, group-specific compatible blood can be provided within 10 minutes plus transport time.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If there is irregular antibodies, blood must be crossmatched.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In an extreme situation when blood group is unknown, O Rh D negative red cells should be given.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Staff working in obstetric units should be aware of the location of the satellite blood fridge (where available) and should ensure that access is possible for blood collection.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fresh frozen plasma (FFP) and cryoprecipitate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FFP at a dose of 12–15 ml/kg should be administered for every 6 units of red cells during major obstetric haemorrhage.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Subsequent FFP transfusion should be guided by the results of clotting tests if they are available in a timely manner, aiming to maintain prothrombin time (PT) and activated partial thromboplastin time (APTT) ratios at less than 1.5 x normal.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It is essential that regular full blood counts and coagulation screens (PT, APTT and fibrinogen) are performed during the bleeding episode.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Cryoprecipitate at a standard dose of two 5-unit pools should be administered early in major obstetric haemorrhage.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Subsequent cryoprecipitate transfusion should be guided by fibrinogen results, aiming to keep levels above 1.5 g/l.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The FFP and cryoprecipitate should ideally be of the same group as the recipient. </w:t>
      </w:r>
    </w:p>
    <w:p w:rsidR="00F630EE" w:rsidRDefault="00F630EE" w:rsidP="00F630EE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If unavailable, FFP of a different ABO group is acceptable providing that it does not have a high titre of anti-A or anti-B activity.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No anti-D prophylaxis is required if a RhD-negative woman receives RhD-positive FFP or cryoprecipitate.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platelets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 should not be allowed to fall below 50 x 109/l in the acutely bleeding patient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2"/>
          <w:szCs w:val="22"/>
        </w:rPr>
        <w:t xml:space="preserve">A platelet count of 50 x 109/l may be anticipated when two blood volumes have been replaced.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 A platelet transfusion trigger of 75 x 109/l is recommended to provide a margin of safety.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 The platelets should ideally also be group compatible.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 Rh D-negative women should receive Rh D-negative platelets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rFonts w:ascii="Courier New" w:hAnsi="Courier New" w:cs="Courier New"/>
          <w:sz w:val="16"/>
          <w:szCs w:val="16"/>
        </w:rPr>
        <w:t xml:space="preserve">o </w:t>
      </w:r>
      <w:r>
        <w:rPr>
          <w:sz w:val="22"/>
          <w:szCs w:val="22"/>
        </w:rPr>
        <w:t xml:space="preserve">Anti-Rh D immunoglobulin (250 iu) will be needed if the platelets are Rh D positive and the recipient Rh D negative. This is not necessary with a caesarean hysterectomy. </w:t>
      </w:r>
    </w:p>
    <w:p w:rsidR="00F630EE" w:rsidRDefault="00F630EE" w:rsidP="00F630EE">
      <w:pPr>
        <w:pStyle w:val="Default"/>
        <w:spacing w:after="11"/>
        <w:rPr>
          <w:sz w:val="22"/>
          <w:szCs w:val="22"/>
        </w:rPr>
      </w:pPr>
      <w:r>
        <w:rPr>
          <w:rFonts w:ascii="Courier New" w:hAnsi="Courier New" w:cs="Courier New"/>
          <w:sz w:val="16"/>
          <w:szCs w:val="16"/>
        </w:rPr>
        <w:t xml:space="preserve">o </w:t>
      </w:r>
      <w:r>
        <w:rPr>
          <w:sz w:val="22"/>
          <w:szCs w:val="22"/>
        </w:rPr>
        <w:t xml:space="preserve">Anti- D is given subcutaneously to minimise bruising and haematomata.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16"/>
          <w:szCs w:val="16"/>
        </w:rPr>
        <w:t xml:space="preserve">o </w:t>
      </w:r>
      <w:r>
        <w:rPr>
          <w:sz w:val="22"/>
          <w:szCs w:val="22"/>
        </w:rPr>
        <w:t xml:space="preserve">Transfusion of platelets through a set previously used for red cells is not recommended.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recombinant factor VIIa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The use of rFVIIa may be considered as a treatment for life-threatening postpartum haemorrhage but should not substitute or delay other procedure.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There is no evidence to support the prophylactic use of rFVIIa to reduce blood loss for c/s.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Is there a role for fibrinogen concentrate therapy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Fibrinogen concentrate is not licensed in the UK for the management of acquired bleeding disorders. Thus, its use in PPH should be considered only in the context of clinical trials.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296 </w:t>
      </w:r>
    </w:p>
    <w:p w:rsidR="00F630EE" w:rsidRDefault="00F630EE" w:rsidP="00F630EE">
      <w:pPr>
        <w:pStyle w:val="Default"/>
        <w:pageBreakBefore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Is there a role for antifibrinolytics </w:t>
      </w:r>
    </w:p>
    <w:p w:rsidR="00F630EE" w:rsidRDefault="00F630EE" w:rsidP="00F630EE">
      <w:pPr>
        <w:pStyle w:val="Default"/>
        <w:rPr>
          <w:rFonts w:ascii="Calibri" w:hAnsi="Calibri" w:cs="Calibri"/>
          <w:sz w:val="32"/>
          <w:szCs w:val="32"/>
        </w:rPr>
      </w:pPr>
      <w:r>
        <w:rPr>
          <w:sz w:val="23"/>
          <w:szCs w:val="23"/>
        </w:rPr>
        <w:t xml:space="preserve"> </w:t>
      </w:r>
      <w:r>
        <w:rPr>
          <w:sz w:val="22"/>
          <w:szCs w:val="22"/>
        </w:rPr>
        <w:t>For those centres not participating in clinical trials, consideration should be given to using tranexamic acid during major obstetric haemorrhage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F630EE" w:rsidRDefault="00F630EE" w:rsidP="00F630EE">
      <w:pPr>
        <w:pStyle w:val="Default"/>
        <w:rPr>
          <w:rFonts w:ascii="Calibri" w:hAnsi="Calibri" w:cs="Calibri"/>
          <w:sz w:val="32"/>
          <w:szCs w:val="32"/>
        </w:rPr>
      </w:pPr>
    </w:p>
    <w:p w:rsidR="00F630EE" w:rsidRDefault="00F630EE" w:rsidP="00F630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How should intrapartum anaemia be managed? </w:t>
      </w:r>
    </w:p>
    <w:p w:rsidR="00F630EE" w:rsidRDefault="00F630EE" w:rsidP="00F630EE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</w:t>
      </w:r>
      <w:r>
        <w:rPr>
          <w:sz w:val="22"/>
          <w:szCs w:val="22"/>
        </w:rPr>
        <w:t xml:space="preserve">In addition to major haemorrhage guidelines, obstetric units should have guidelines on criteria for red cell transfusion in anaemic women who are not actively bleeding.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If the Hb is less than 70 g/l in labour or in the immediate postpartum period, the decision to transfuse should be made according to the individual‟s medical history and symptoms.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How should the woman be managed in the postnatal period?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</w:t>
      </w:r>
      <w:r>
        <w:rPr>
          <w:sz w:val="22"/>
          <w:szCs w:val="22"/>
        </w:rPr>
        <w:t xml:space="preserve">If the Hb is less than 7–8 g/dl in postnatal period, the decision to transfuse should be made on an informed individual basis. </w:t>
      </w:r>
    </w:p>
    <w:p w:rsidR="00F630EE" w:rsidRDefault="00F630EE" w:rsidP="00F630EE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In fit, healthy, asymptomatic patients no need for blood transfusion.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If unexpected severe bleeding occurred, investigations should be made for bleeding diatheses. </w:t>
      </w:r>
    </w:p>
    <w:p w:rsidR="00F630EE" w:rsidRDefault="00F630EE" w:rsidP="00F630EE">
      <w:pPr>
        <w:pStyle w:val="Default"/>
        <w:rPr>
          <w:sz w:val="22"/>
          <w:szCs w:val="22"/>
        </w:rPr>
      </w:pPr>
    </w:p>
    <w:p w:rsidR="00F630EE" w:rsidRDefault="00F630EE" w:rsidP="00F630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How should women who refuse blood transfusion be managed? </w:t>
      </w:r>
    </w:p>
    <w:p w:rsidR="00F630EE" w:rsidRDefault="00F630EE" w:rsidP="00F630EE">
      <w:pPr>
        <w:pStyle w:val="Default"/>
        <w:spacing w:after="2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</w:t>
      </w:r>
      <w:r>
        <w:rPr>
          <w:sz w:val="22"/>
          <w:szCs w:val="22"/>
        </w:rPr>
        <w:t xml:space="preserve">Hb should be optimised prior to delivery to prevent avoidable anaemia. </w:t>
      </w:r>
    </w:p>
    <w:p w:rsidR="00F630EE" w:rsidRDefault="00F630EE" w:rsidP="00F630EE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Use of pharmacological, mechanical and surgical procedures to avert the use of banked blood and blood components should be considered early. </w:t>
      </w:r>
    </w:p>
    <w:p w:rsidR="00F630EE" w:rsidRDefault="00F630EE" w:rsidP="00F630EE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IOCS has a role in the management of patients who refuse allogeneic blood transfusion. </w:t>
      </w:r>
    </w:p>
    <w:p w:rsidR="00F630EE" w:rsidRDefault="00F630EE" w:rsidP="00F63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Consent/refusal of blood and components or other transfusion-sparing techniques should be discussed and documented during the antenatal period. </w:t>
      </w:r>
    </w:p>
    <w:p w:rsidR="0012214A" w:rsidRPr="00F630EE" w:rsidRDefault="0012214A" w:rsidP="00F630EE">
      <w:pPr>
        <w:jc w:val="right"/>
        <w:rPr>
          <w:rFonts w:hint="cs"/>
          <w:lang w:bidi="ar-IQ"/>
        </w:rPr>
      </w:pPr>
    </w:p>
    <w:sectPr w:rsidR="0012214A" w:rsidRPr="00F630EE" w:rsidSect="00721292">
      <w:pgSz w:w="11906" w:h="17338"/>
      <w:pgMar w:top="503" w:right="900" w:bottom="898" w:left="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B"/>
    <w:rsid w:val="0012214A"/>
    <w:rsid w:val="00673031"/>
    <w:rsid w:val="008F290B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98F73"/>
  <w15:chartTrackingRefBased/>
  <w15:docId w15:val="{D080A766-DFA6-45EC-9A80-1D54B7C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9310</Characters>
  <Application>Microsoft Office Word</Application>
  <DocSecurity>0</DocSecurity>
  <Lines>77</Lines>
  <Paragraphs>21</Paragraphs>
  <ScaleCrop>false</ScaleCrop>
  <Company>SACC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2021-05-23T21:40:00Z</dcterms:created>
  <dcterms:modified xsi:type="dcterms:W3CDTF">2021-05-23T21:42:00Z</dcterms:modified>
</cp:coreProperties>
</file>